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Konrad Stawiski</w:t>
      </w:r>
    </w:p>
    <w:p>
      <w:pPr>
        <w:pStyle w:val="Subtitle"/>
      </w:pPr>
      <w:r>
        <w:t xml:space="preserve">Radiation oncologist and clinical-translational researcher</w:t>
      </w:r>
    </w:p>
    <w:p>
      <w:pPr>
        <w:pStyle w:val="FirstParagraph"/>
      </w:pPr>
      <w:r>
        <w:t xml:space="preserve">Board-certified radiation oncologist and clinical-translational researcher focused on GU/GI radiotherapy, bladder/prostate/rectal cancer care, radiomics, omics biomarkers, radiation-toxicity modeling, and practical medical AI.</w:t>
      </w:r>
    </w:p>
    <w:p>
      <w:pPr>
        <w:pStyle w:val="BodyText"/>
      </w:pPr>
      <w:r>
        <w:rPr>
          <w:b/>
          <w:bCs/>
        </w:rPr>
        <w:t xml:space="preserve">Contact and profiles:</w:t>
      </w:r>
      <w:r>
        <w:t xml:space="preserve"> </w:t>
      </w:r>
      <w:hyperlink r:id="rId9">
        <w:r>
          <w:rPr>
            <w:rStyle w:val="Hyperlink"/>
          </w:rPr>
          <w:t xml:space="preserve">konrad@konsta.com.pl</w:t>
        </w:r>
      </w:hyperlink>
      <w:r>
        <w:t xml:space="preserve">;</w:t>
      </w:r>
      <w:r>
        <w:t xml:space="preserve"> </w:t>
      </w:r>
      <w:hyperlink r:id="rId10">
        <w:r>
          <w:rPr>
            <w:rStyle w:val="Hyperlink"/>
          </w:rPr>
          <w:t xml:space="preserve">Harvard Catalyst</w:t>
        </w:r>
      </w:hyperlink>
      <w:r>
        <w:t xml:space="preserve">;</w:t>
      </w:r>
      <w:r>
        <w:t xml:space="preserve"> </w:t>
      </w:r>
      <w:hyperlink r:id="rId11">
        <w:r>
          <w:rPr>
            <w:rStyle w:val="Hyperlink"/>
          </w:rPr>
          <w:t xml:space="preserve">ORCID</w:t>
        </w:r>
      </w:hyperlink>
      <w:r>
        <w:t xml:space="preserve">;</w:t>
      </w:r>
      <w:r>
        <w:t xml:space="preserve"> </w:t>
      </w:r>
      <w:hyperlink r:id="rId12">
        <w:r>
          <w:rPr>
            <w:rStyle w:val="Hyperlink"/>
          </w:rPr>
          <w:t xml:space="preserve">PubMed</w:t>
        </w:r>
      </w:hyperlink>
      <w:r>
        <w:t xml:space="preserve">;</w:t>
      </w:r>
      <w:r>
        <w:t xml:space="preserve"> </w:t>
      </w:r>
      <w:hyperlink r:id="rId13">
        <w:r>
          <w:rPr>
            <w:rStyle w:val="Hyperlink"/>
          </w:rPr>
          <w:t xml:space="preserve">OpenAlex</w:t>
        </w:r>
      </w:hyperlink>
      <w:r>
        <w:t xml:space="preserve">;</w:t>
      </w:r>
      <w:r>
        <w:t xml:space="preserve"> </w:t>
      </w:r>
      <w:hyperlink r:id="rId14">
        <w:r>
          <w:rPr>
            <w:rStyle w:val="Hyperlink"/>
          </w:rPr>
          <w:t xml:space="preserve">Google Scholar</w:t>
        </w:r>
      </w:hyperlink>
      <w:r>
        <w:t xml:space="preserve">;</w:t>
      </w:r>
      <w:r>
        <w:t xml:space="preserve"> </w:t>
      </w:r>
      <w:hyperlink r:id="rId15">
        <w:r>
          <w:rPr>
            <w:rStyle w:val="Hyperlink"/>
          </w:rPr>
          <w:t xml:space="preserve">GitHub</w:t>
        </w:r>
      </w:hyperlink>
      <w:r>
        <w:t xml:space="preserve">.</w:t>
      </w:r>
    </w:p>
    <w:bookmarkStart w:id="16" w:name="current-roles-and-focus"/>
    <w:p>
      <w:pPr>
        <w:pStyle w:val="Heading1"/>
      </w:pPr>
      <w:r>
        <w:t xml:space="preserve">Current roles and focus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Visiting Assistant Professor of Radiation Oncology</w:t>
      </w:r>
      <w:r>
        <w:t xml:space="preserve">, Dana-Farber Cancer Institute, Boston, MA, USA.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Assistant Professor</w:t>
      </w:r>
      <w:r>
        <w:t xml:space="preserve">, Department of Biostatistics and Translational Medicine, Medical University of Lodz; supervisor of the Artificial Intelligence in Oncology Students’ Scientific Group.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Radiation Oncologist and Deputy Head of Department of Brachytherapy and General Oncology</w:t>
      </w:r>
      <w:r>
        <w:t xml:space="preserve">, Copernicus Memorial Hospital in Lodz; deputy clinical lead for a 34-bed ward.</w:t>
      </w:r>
    </w:p>
    <w:p>
      <w:pPr>
        <w:pStyle w:val="Compact"/>
        <w:numPr>
          <w:ilvl w:val="0"/>
          <w:numId w:val="1001"/>
        </w:numPr>
      </w:pPr>
      <w:r>
        <w:t xml:space="preserve">Clinical scope: broad radiotherapy practice with special focus on genitourinary and gastrointestinal cancers, including prostate, bladder, and rectal cancer; SBRT/SRS, brachytherapy, radiochemotherapy, and radioimmunotherapy.</w:t>
      </w:r>
    </w:p>
    <w:bookmarkEnd w:id="16"/>
    <w:bookmarkStart w:id="17" w:name="selected-impact"/>
    <w:p>
      <w:pPr>
        <w:pStyle w:val="Heading1"/>
      </w:pPr>
      <w:r>
        <w:t xml:space="preserve">Selected impact</w:t>
      </w:r>
    </w:p>
    <w:p>
      <w:pPr>
        <w:pStyle w:val="Compact"/>
        <w:numPr>
          <w:ilvl w:val="0"/>
          <w:numId w:val="1002"/>
        </w:numPr>
      </w:pPr>
      <w:r>
        <w:t xml:space="preserve">97 Google Scholar records; h-index 19; 1,095 citations.</w:t>
      </w:r>
    </w:p>
    <w:p>
      <w:pPr>
        <w:pStyle w:val="Compact"/>
        <w:numPr>
          <w:ilvl w:val="0"/>
          <w:numId w:val="1002"/>
        </w:numPr>
      </w:pPr>
      <w:r>
        <w:t xml:space="preserve">Partner PI / Polish group lead in the ERA PerMed miRPOC consortium; PI of NCN PRELUDIUM and Radonek-AI projects.</w:t>
      </w:r>
    </w:p>
    <w:p>
      <w:pPr>
        <w:pStyle w:val="Compact"/>
        <w:numPr>
          <w:ilvl w:val="0"/>
          <w:numId w:val="1002"/>
        </w:numPr>
      </w:pPr>
      <w:r>
        <w:t xml:space="preserve">Co-inventor on circulating microRNA patent families for pancreatic and ovarian cancer; ovarian cancer family publicly described as under commercialization/licensing efforts with Aspira Women’s Health.</w:t>
      </w:r>
    </w:p>
    <w:p>
      <w:pPr>
        <w:pStyle w:val="Compact"/>
        <w:numPr>
          <w:ilvl w:val="0"/>
          <w:numId w:val="1002"/>
        </w:numPr>
      </w:pPr>
      <w:r>
        <w:t xml:space="preserve">Subinvestigator in phase I/II-III oncology trials, including GU, thoracic, head-and-neck, cervical, and advanced solid-tumor studies.</w:t>
      </w:r>
    </w:p>
    <w:p>
      <w:pPr>
        <w:pStyle w:val="Compact"/>
        <w:numPr>
          <w:ilvl w:val="0"/>
          <w:numId w:val="1002"/>
        </w:numPr>
      </w:pPr>
      <w:r>
        <w:t xml:space="preserve">Editorial Board Member, BMC Cancer; elected member of the ESTRO AI in RT Focus Group.</w:t>
      </w:r>
    </w:p>
    <w:bookmarkEnd w:id="17"/>
    <w:bookmarkStart w:id="21" w:name="selected-publications-and-contributions"/>
    <w:p>
      <w:pPr>
        <w:pStyle w:val="Heading1"/>
      </w:pPr>
      <w:r>
        <w:t xml:space="preserve">Selected publications and contributions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First author / GU translational oncology:</w:t>
      </w:r>
      <w:r>
        <w:t xml:space="preserve"> </w:t>
      </w:r>
      <w:r>
        <w:t xml:space="preserve">Stawiski K, Perera-Bel J, Rodriguez-Vida A, Juanpere N, Lee J, Michaud DE, Guerriero JL, Mouw KW, Bamias A, Carvalho FLF, Bellmunt J.</w:t>
      </w:r>
      <w:r>
        <w:t xml:space="preserve"> </w:t>
      </w:r>
      <w:r>
        <w:rPr>
          <w:b/>
          <w:bCs/>
        </w:rPr>
        <w:t xml:space="preserve">Tumor B-cell infiltration in platinum-treated advanced muscle-invasive urothelial carcinoma.</w:t>
      </w:r>
      <w:r>
        <w:t xml:space="preserve"> </w:t>
      </w:r>
      <w:r>
        <w:rPr>
          <w:i/>
          <w:iCs/>
        </w:rPr>
        <w:t xml:space="preserve">Molecular Oncology.</w:t>
      </w:r>
      <w:r>
        <w:t xml:space="preserve"> </w:t>
      </w:r>
      <w:r>
        <w:t xml:space="preserve">2026 Jun 1. doi:</w:t>
      </w:r>
      <w:r>
        <w:t xml:space="preserve"> </w:t>
      </w:r>
      <w:hyperlink r:id="rId18">
        <w:r>
          <w:rPr>
            <w:rStyle w:val="Hyperlink"/>
          </w:rPr>
          <w:t xml:space="preserve">10.1002/1878-0261.70276</w:t>
        </w:r>
      </w:hyperlink>
      <w:r>
        <w:t xml:space="preserve">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Bladder cancer / DFCI-Broad collaboration:</w:t>
      </w:r>
      <w:r>
        <w:t xml:space="preserve"> </w:t>
      </w:r>
      <w:r>
        <w:t xml:space="preserve">Zhou Y, Borcsok J, Adib E, Kamran SC, Neil AJ, Stawiski K, et al. </w:t>
      </w:r>
      <w:r>
        <w:rPr>
          <w:b/>
          <w:bCs/>
        </w:rPr>
        <w:t xml:space="preserve">ATM deficiency confers specific therapeutic vulnerabilities in bladder cancer.</w:t>
      </w:r>
      <w:r>
        <w:t xml:space="preserve"> </w:t>
      </w:r>
      <w:r>
        <w:rPr>
          <w:i/>
          <w:iCs/>
        </w:rPr>
        <w:t xml:space="preserve">Science Advances.</w:t>
      </w:r>
      <w:r>
        <w:t xml:space="preserve"> </w:t>
      </w:r>
      <w:r>
        <w:t xml:space="preserve">2023;9:eadg2263. doi:</w:t>
      </w:r>
      <w:r>
        <w:t xml:space="preserve"> </w:t>
      </w:r>
      <w:hyperlink r:id="rId19">
        <w:r>
          <w:rPr>
            <w:rStyle w:val="Hyperlink"/>
          </w:rPr>
          <w:t xml:space="preserve">10.1126/sciadv.adg2263</w:t>
        </w:r>
      </w:hyperlink>
      <w:r>
        <w:t xml:space="preserve">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Clinical AI / urologic oncology:</w:t>
      </w:r>
      <w:r>
        <w:t xml:space="preserve"> </w:t>
      </w:r>
      <w:r>
        <w:t xml:space="preserve">Jobczyk M, Stawiski K, Kaszkowiak M, Rajwa P, Rozanski W, Soria F, et al. </w:t>
      </w:r>
      <w:r>
        <w:rPr>
          <w:b/>
          <w:bCs/>
        </w:rPr>
        <w:t xml:space="preserve">Deep learning-based recalibration of the CUETO and EORTC prediction tools for recurrence and progression of non-muscle-invasive bladder cancer.</w:t>
      </w:r>
      <w:r>
        <w:t xml:space="preserve"> </w:t>
      </w:r>
      <w:r>
        <w:rPr>
          <w:i/>
          <w:iCs/>
        </w:rPr>
        <w:t xml:space="preserve">European Urology Oncology.</w:t>
      </w:r>
      <w:r>
        <w:t xml:space="preserve"> </w:t>
      </w:r>
      <w:r>
        <w:t xml:space="preserve">2022;5:109-112.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Research software / omics modeling:</w:t>
      </w:r>
      <w:r>
        <w:t xml:space="preserve"> </w:t>
      </w:r>
      <w:r>
        <w:t xml:space="preserve">Stawiski K, Kaszkowiak M, Mikulski D, Hogendorf P, Durczynski A, et al. </w:t>
      </w:r>
      <w:r>
        <w:rPr>
          <w:b/>
          <w:bCs/>
        </w:rPr>
        <w:t xml:space="preserve">OmicSelector: automatic feature selection and deep learning modeling for omic experiments.</w:t>
      </w:r>
      <w:r>
        <w:t xml:space="preserve"> </w:t>
      </w:r>
      <w:r>
        <w:rPr>
          <w:i/>
          <w:iCs/>
        </w:rPr>
        <w:t xml:space="preserve">bioRxiv.</w:t>
      </w:r>
      <w:r>
        <w:t xml:space="preserve"> </w:t>
      </w:r>
      <w:r>
        <w:t xml:space="preserve">2022. doi:</w:t>
      </w:r>
      <w:r>
        <w:t xml:space="preserve"> </w:t>
      </w:r>
      <w:hyperlink r:id="rId20">
        <w:r>
          <w:rPr>
            <w:rStyle w:val="Hyperlink"/>
          </w:rPr>
          <w:t xml:space="preserve">10.1101/2022.06.01.494299</w:t>
        </w:r>
      </w:hyperlink>
      <w:r>
        <w:t xml:space="preserve">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miRNA biomarker validation:</w:t>
      </w:r>
      <w:r>
        <w:t xml:space="preserve"> </w:t>
      </w:r>
      <w:r>
        <w:t xml:space="preserve">Stawiski K, Fortner RT, Pestarino L, Umu SU, Kaaks R, Rounge TB, et al. </w:t>
      </w:r>
      <w:r>
        <w:rPr>
          <w:b/>
          <w:bCs/>
        </w:rPr>
        <w:t xml:space="preserve">Validation of miRNA signatures for ovarian cancer earlier detection in the pre-diagnosis setting using machine learning approaches.</w:t>
      </w:r>
      <w:r>
        <w:t xml:space="preserve"> </w:t>
      </w:r>
      <w:r>
        <w:rPr>
          <w:i/>
          <w:iCs/>
        </w:rPr>
        <w:t xml:space="preserve">Frontiers in Oncology.</w:t>
      </w:r>
      <w:r>
        <w:t xml:space="preserve"> </w:t>
      </w:r>
      <w:r>
        <w:t xml:space="preserve">2024;14:1389066.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Patent-linked translational diagnostics:</w:t>
      </w:r>
      <w:r>
        <w:t xml:space="preserve"> </w:t>
      </w:r>
      <w:r>
        <w:t xml:space="preserve">Elias KM, Fendler W, Stawiski K, Fiascone SJ, Vitonis AF, Berkowitz RS, et al. </w:t>
      </w:r>
      <w:r>
        <w:rPr>
          <w:b/>
          <w:bCs/>
        </w:rPr>
        <w:t xml:space="preserve">Diagnostic potential for a serum miRNA neural network for detection of ovarian cancer.</w:t>
      </w:r>
      <w:r>
        <w:t xml:space="preserve"> </w:t>
      </w:r>
      <w:r>
        <w:rPr>
          <w:i/>
          <w:iCs/>
        </w:rPr>
        <w:t xml:space="preserve">eLife.</w:t>
      </w:r>
      <w:r>
        <w:t xml:space="preserve"> </w:t>
      </w:r>
      <w:r>
        <w:t xml:space="preserve">2017;6:e28932.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Radiation biomarker work:</w:t>
      </w:r>
      <w:r>
        <w:t xml:space="preserve"> </w:t>
      </w:r>
      <w:r>
        <w:t xml:space="preserve">Nowicka Z, Tomasik B, Kozono D, Stawiski K, Johnson T, Haas-Kogan D, et al. </w:t>
      </w:r>
      <w:r>
        <w:rPr>
          <w:b/>
          <w:bCs/>
        </w:rPr>
        <w:t xml:space="preserve">Serum miRNA-based signature indicates radiation exposure and dose in humans.</w:t>
      </w:r>
      <w:r>
        <w:t xml:space="preserve"> </w:t>
      </w:r>
      <w:r>
        <w:rPr>
          <w:i/>
          <w:iCs/>
        </w:rPr>
        <w:t xml:space="preserve">Radiotherapy and Oncology.</w:t>
      </w:r>
      <w:r>
        <w:t xml:space="preserve"> </w:t>
      </w:r>
      <w:r>
        <w:t xml:space="preserve">2023;185:109731.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Radiation toxicity / dose-volume analytics:</w:t>
      </w:r>
      <w:r>
        <w:t xml:space="preserve"> </w:t>
      </w:r>
      <w:r>
        <w:t xml:space="preserve">Nowicka Z, Kuna K, Laszczych M, Lazar-Poniatowska M, Sobocki BK, Stawiski K, et al. </w:t>
      </w:r>
      <w:r>
        <w:rPr>
          <w:b/>
          <w:bCs/>
        </w:rPr>
        <w:t xml:space="preserve">Dose-volume metric-based prediction of radiotherapy-induced lymphocyte loss.</w:t>
      </w:r>
      <w:r>
        <w:t xml:space="preserve"> </w:t>
      </w:r>
      <w:r>
        <w:rPr>
          <w:i/>
          <w:iCs/>
        </w:rPr>
        <w:t xml:space="preserve">Physics and Imaging in Radiation Oncology.</w:t>
      </w:r>
      <w:r>
        <w:t xml:space="preserve"> </w:t>
      </w:r>
      <w:r>
        <w:t xml:space="preserve">2024;30:100593.</w:t>
      </w:r>
    </w:p>
    <w:bookmarkEnd w:id="21"/>
    <w:bookmarkStart w:id="22" w:name="grants-awards-patents"/>
    <w:p>
      <w:pPr>
        <w:pStyle w:val="Heading1"/>
      </w:pPr>
      <w:r>
        <w:t xml:space="preserve">Grants, awards, patents</w:t>
      </w:r>
    </w:p>
    <w:p>
      <w:pPr>
        <w:pStyle w:val="Compact"/>
        <w:numPr>
          <w:ilvl w:val="0"/>
          <w:numId w:val="1004"/>
        </w:numPr>
      </w:pPr>
      <w:r>
        <w:t xml:space="preserve">ERA PerMed miRPOC, Joint Transnational Call 2022: total consortium budget approximately EUR 1,000,000;</w:t>
      </w:r>
      <w:r>
        <w:t xml:space="preserve"> </w:t>
      </w:r>
      <w:r>
        <w:rPr>
          <w:b/>
          <w:bCs/>
        </w:rPr>
        <w:t xml:space="preserve">Partner PI / Polish group lead</w:t>
      </w:r>
      <w:r>
        <w:t xml:space="preserve"> </w:t>
      </w:r>
      <w:r>
        <w:t xml:space="preserve">at Medical University of Lodz.</w:t>
      </w:r>
    </w:p>
    <w:p>
      <w:pPr>
        <w:pStyle w:val="Compact"/>
        <w:numPr>
          <w:ilvl w:val="0"/>
          <w:numId w:val="1004"/>
        </w:numPr>
      </w:pPr>
      <w:r>
        <w:t xml:space="preserve">Prof. Franciszek Walczak NAWA Programme Scholarship, 2025: one of 31 awardees selected from 125 applications; 6-month Dana-Farber / Harvard Medical School fellowship on bladder-preserving treatment strategies in muscle-invasive bladder cancer; institutional report: 94/100.</w:t>
      </w:r>
    </w:p>
    <w:p>
      <w:pPr>
        <w:pStyle w:val="Compact"/>
        <w:numPr>
          <w:ilvl w:val="0"/>
          <w:numId w:val="1004"/>
        </w:numPr>
      </w:pPr>
      <w:r>
        <w:t xml:space="preserve">NCN PRELUDIUM, 2019-2022: deep neural networks for circulating and intracellular miRNA profiles in pancreatic cancer;</w:t>
      </w:r>
      <w:r>
        <w:t xml:space="preserve"> </w:t>
      </w:r>
      <w:r>
        <w:rPr>
          <w:b/>
          <w:bCs/>
        </w:rPr>
        <w:t xml:space="preserve">PI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t xml:space="preserve">Radonek-AI, 2023-2024: virtual oncology patient assistant, PLN 70,000;</w:t>
      </w:r>
      <w:r>
        <w:t xml:space="preserve"> </w:t>
      </w:r>
      <w:r>
        <w:rPr>
          <w:b/>
          <w:bCs/>
        </w:rPr>
        <w:t xml:space="preserve">PI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t xml:space="preserve">Patent families: circulating microRNA signatures for pancreatic cancer and ovarian cancer.</w:t>
      </w:r>
    </w:p>
    <w:bookmarkEnd w:id="22"/>
    <w:bookmarkStart w:id="24" w:name="clinical-trials-and-research-software"/>
    <w:p>
      <w:pPr>
        <w:pStyle w:val="Heading1"/>
      </w:pPr>
      <w:r>
        <w:t xml:space="preserve">Clinical trials and research software</w:t>
      </w:r>
    </w:p>
    <w:p>
      <w:pPr>
        <w:pStyle w:val="Compact"/>
        <w:numPr>
          <w:ilvl w:val="0"/>
          <w:numId w:val="1005"/>
        </w:numPr>
      </w:pPr>
      <w:r>
        <w:t xml:space="preserve">Selected commercial clinical trials as subinvestigator / site clinical team: TALAPRO-2 (mCRPC), KEYNOTE-867 (locally advanced NSCLC chemoradiotherapy + pembrolizumab), KEYNOTE-689 (head-and-neck cancer), CALLA (cervical cancer chemoradiotherapy + durvalumab), NC-6004-009 (advanced solid tumors).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RTpipeline:</w:t>
      </w:r>
      <w:r>
        <w:t xml:space="preserve"> </w:t>
      </w:r>
      <w:r>
        <w:t xml:space="preserve">DICOM RT-to-analysis pipeline for dose-volume, radiomics, and machine-learning workflows.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rect-ril:</w:t>
      </w:r>
      <w:r>
        <w:t xml:space="preserve"> </w:t>
      </w:r>
      <w:r>
        <w:t xml:space="preserve">R/Python pipeline and calculator for severe radiation-induced lymphopenia prediction in rectal cancer; Zenodo DOI 10.5281/zenodo.19595346.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Somatic Likelihood Tiering:</w:t>
      </w:r>
      <w:r>
        <w:t xml:space="preserve"> </w:t>
      </w:r>
      <w:r>
        <w:t xml:space="preserve">tumor-only WES variant triage framework; Zenodo DOI 10.5281/zenodo.19572621.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OmicSelector / OmicApp:</w:t>
      </w:r>
      <w:r>
        <w:t xml:space="preserve"> </w:t>
      </w:r>
      <w:r>
        <w:t xml:space="preserve">R/Docker tools for feature selection and deep-learning modeling in omics experiments.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Notatnik Medyczny:</w:t>
      </w:r>
      <w:r>
        <w:t xml:space="preserve"> </w:t>
      </w:r>
      <w:r>
        <w:t xml:space="preserve">selected digital-health project for structured clinical documentation workflows; public ADK hackathon prototype at</w:t>
      </w:r>
      <w:r>
        <w:t xml:space="preserve"> </w:t>
      </w:r>
      <w:hyperlink r:id="rId23">
        <w:r>
          <w:rPr>
            <w:rStyle w:val="Hyperlink"/>
          </w:rPr>
          <w:t xml:space="preserve">github.com/kstawiski/notatnik-adk-slice-public</w:t>
        </w:r>
      </w:hyperlink>
      <w:r>
        <w:t xml:space="preserve">.</w:t>
      </w:r>
    </w:p>
    <w:bookmarkEnd w:id="24"/>
    <w:bookmarkStart w:id="25" w:name="skills"/>
    <w:p>
      <w:pPr>
        <w:pStyle w:val="Heading1"/>
      </w:pPr>
      <w:r>
        <w:t xml:space="preserve">Skills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Clinical radiation oncology:</w:t>
      </w:r>
      <w:r>
        <w:t xml:space="preserve"> </w:t>
      </w:r>
      <w:r>
        <w:t xml:space="preserve">GU/GI cancers, bladder-preserving trimodality therapy, prostate and rectal radiotherapy, SBRT/SRS, brachytherapy, radiochemotherapy, radioimmunotherapy, clinical trials.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Translational oncology:</w:t>
      </w:r>
      <w:r>
        <w:t xml:space="preserve"> </w:t>
      </w:r>
      <w:r>
        <w:t xml:space="preserve">radiomics, DICOM RT, DVH analytics, miRNA-seq, RNA-seq, single-cell RNA-seq, WES, biomarkers, radiation toxicity.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AI and biostatistics:</w:t>
      </w:r>
      <w:r>
        <w:t xml:space="preserve"> </w:t>
      </w:r>
      <w:r>
        <w:t xml:space="preserve">prediction modeling, survival analysis, machine learning, deep learning, model validation, reproducible pipelines, clinical decision tools.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Research software:</w:t>
      </w:r>
      <w:r>
        <w:t xml:space="preserve"> </w:t>
      </w:r>
      <w:r>
        <w:t xml:space="preserve">R, Python, Shiny, Docker, GitHub/Zenodo releases, web applications, clinical documentation workflows, OCR/dictation, secure web deployment.</w:t>
      </w:r>
    </w:p>
    <w:bookmarkEnd w:id="25"/>
    <w:bookmarkStart w:id="30" w:name="full-cv"/>
    <w:p>
      <w:pPr>
        <w:pStyle w:val="Heading1"/>
      </w:pPr>
      <w:r>
        <w:t xml:space="preserve">Full CV</w:t>
      </w:r>
    </w:p>
    <w:p>
      <w:pPr>
        <w:pStyle w:val="FirstParagraph"/>
      </w:pPr>
      <w:r>
        <w:t xml:space="preserve">Comprehensive CV and full Google Scholar publication archive:</w:t>
      </w:r>
      <w:r>
        <w:t xml:space="preserve"> </w:t>
      </w:r>
      <w:hyperlink r:id="rId26">
        <w:r>
          <w:rPr>
            <w:rStyle w:val="Hyperlink"/>
          </w:rPr>
          <w:t xml:space="preserve">English PDF</w:t>
        </w:r>
      </w:hyperlink>
      <w:r>
        <w:t xml:space="preserve">,</w:t>
      </w:r>
      <w:r>
        <w:t xml:space="preserve"> </w:t>
      </w:r>
      <w:hyperlink r:id="rId27">
        <w:r>
          <w:rPr>
            <w:rStyle w:val="Hyperlink"/>
          </w:rPr>
          <w:t xml:space="preserve">English DOCX</w:t>
        </w:r>
      </w:hyperlink>
      <w:r>
        <w:t xml:space="preserve">,</w:t>
      </w:r>
      <w:r>
        <w:t xml:space="preserve"> </w:t>
      </w:r>
      <w:hyperlink r:id="rId28">
        <w:r>
          <w:rPr>
            <w:rStyle w:val="Hyperlink"/>
          </w:rPr>
          <w:t xml:space="preserve">Polish PDF</w:t>
        </w:r>
      </w:hyperlink>
      <w:r>
        <w:t xml:space="preserve">,</w:t>
      </w:r>
      <w:r>
        <w:t xml:space="preserve"> </w:t>
      </w:r>
      <w:hyperlink r:id="rId29">
        <w:r>
          <w:rPr>
            <w:rStyle w:val="Hyperlink"/>
          </w:rPr>
          <w:t xml:space="preserve">Polish DOCX</w:t>
        </w:r>
      </w:hyperlink>
      <w:r>
        <w:t xml:space="preserve">.</w:t>
      </w:r>
    </w:p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rPr>
      <w:rFonts w:ascii="Open Sans" w:cs="Open Sans" w:eastAsia="Open Sans" w:hAnsi="Open Sans"/>
      <w:sz w:val="20"/>
      <w:szCs w:val="20"/>
      <w:color w:val="202A32"/>
    </w:rPr>
    <w:pPr>
      <w:spacing w:after="65" w:before="0" w:line="250" w:lineRule="auto"/>
    </w:pPr>
  </w:style>
  <w:style w:styleId="BodyText" w:type="paragraph">
    <w:name w:val="Body Text"/>
    <w:basedOn w:val="Normal"/>
    <w:link w:val="BodyTextChar"/>
    <w:qFormat/>
    <w:pPr>
      <w:spacing w:after="65" w:before="0" w:line="250" w:lineRule="auto"/>
    </w:pPr>
    <w:rPr>
      <w:rFonts w:ascii="Open Sans" w:cs="Open Sans" w:eastAsia="Open Sans" w:hAnsi="Open Sans"/>
      <w:sz w:val="20"/>
      <w:szCs w:val="20"/>
      <w:color w:val="202A32"/>
    </w:rPr>
  </w:style>
  <w:style w:customStyle="1" w:styleId="FirstParagraph" w:type="paragraph">
    <w:name w:val="First Paragraph"/>
    <w:basedOn w:val="BodyText"/>
    <w:next w:val="BodyText"/>
    <w:qFormat/>
    <w:rPr>
      <w:rFonts w:ascii="Open Sans" w:cs="Open Sans" w:eastAsia="Open Sans" w:hAnsi="Open Sans"/>
      <w:sz w:val="20"/>
      <w:szCs w:val="20"/>
      <w:color w:val="202A32"/>
    </w:rPr>
    <w:pPr>
      <w:spacing w:after="65" w:before="0" w:line="250" w:lineRule="auto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contextualSpacing/>
      <w:jc w:val="center"/>
      <w:spacing w:after="120" w:before="0" w:line="250" w:lineRule="auto"/>
    </w:pPr>
    <w:rPr>
      <w:rFonts w:ascii="Open Sans" w:cs="Open Sans" w:eastAsia="Open Sans" w:hAnsi="Open Sans"/>
      <w:sz w:val="50"/>
      <w:szCs w:val="50"/>
      <w:color w:val="173A4A"/>
      <w:b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  <w:spacing w:after="120" w:before="0" w:line="250" w:lineRule="auto"/>
    </w:pPr>
    <w:rPr>
      <w:spacing w:val="15"/>
      <w:rFonts w:ascii="Open Sans" w:cs="Open Sans" w:eastAsia="Open Sans" w:hAnsi="Open Sans"/>
      <w:sz w:val="25"/>
      <w:szCs w:val="25"/>
      <w:color w:val="5A6872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95" w:before="260" w:line="250" w:lineRule="auto"/>
      <w:outlineLvl w:val="0"/>
      <w:pBdr>
        <w:bottom w:color="167C80" w:space="3" w:sz="8" w:val="single"/>
      </w:pBdr>
    </w:pPr>
    <w:rPr>
      <w:rFonts w:ascii="Open Sans" w:cs="Open Sans" w:eastAsia="Open Sans" w:hAnsi="Open Sans"/>
      <w:sz w:val="31"/>
      <w:szCs w:val="31"/>
      <w:color w:val="173A4A"/>
      <w:b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55" w:before="170" w:line="250" w:lineRule="auto"/>
      <w:outlineLvl w:val="1"/>
    </w:pPr>
    <w:rPr>
      <w:rFonts w:ascii="Open Sans" w:cs="Open Sans" w:eastAsia="Open Sans" w:hAnsi="Open Sans"/>
      <w:sz w:val="25"/>
      <w:szCs w:val="25"/>
      <w:color w:val="2B5C7C"/>
      <w:b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35" w:before="120" w:line="250" w:lineRule="auto"/>
      <w:outlineLvl w:val="2"/>
    </w:pPr>
    <w:rPr>
      <w:rFonts w:ascii="Open Sans" w:cs="Open Sans" w:eastAsia="Open Sans" w:hAnsi="Open Sans"/>
      <w:sz w:val="22"/>
      <w:szCs w:val="22"/>
      <w:color w:val="202A32"/>
      <w:b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rFonts w:ascii="Open Sans" w:cs="Open Sans" w:eastAsia="Open Sans" w:hAnsi="Open Sans"/>
      <w:sz w:val="20"/>
      <w:szCs w:val="20"/>
      <w:color w:val="167C80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7" Target="cv-full-en.docx" TargetMode="External" /><Relationship Type="http://schemas.openxmlformats.org/officeDocument/2006/relationships/hyperlink" Id="rId26" Target="cv-full-en.pdf" TargetMode="External" /><Relationship Type="http://schemas.openxmlformats.org/officeDocument/2006/relationships/hyperlink" Id="rId29" Target="cv-full-pl.docx" TargetMode="External" /><Relationship Type="http://schemas.openxmlformats.org/officeDocument/2006/relationships/hyperlink" Id="rId28" Target="cv-full-pl.pdf" TargetMode="External" /><Relationship Type="http://schemas.openxmlformats.org/officeDocument/2006/relationships/hyperlink" Id="rId10" Target="https://connects.catalyst.harvard.edu/Profiles/profile/332013997" TargetMode="External" /><Relationship Type="http://schemas.openxmlformats.org/officeDocument/2006/relationships/hyperlink" Id="rId18" Target="https://doi.org/10.1002/1878-0261.70276" TargetMode="External" /><Relationship Type="http://schemas.openxmlformats.org/officeDocument/2006/relationships/hyperlink" Id="rId20" Target="https://doi.org/10.1101/2022.06.01.494299" TargetMode="External" /><Relationship Type="http://schemas.openxmlformats.org/officeDocument/2006/relationships/hyperlink" Id="rId19" Target="https://doi.org/10.1126/sciadv.adg2263" TargetMode="External" /><Relationship Type="http://schemas.openxmlformats.org/officeDocument/2006/relationships/hyperlink" Id="rId15" Target="https://github.com/kstawiski" TargetMode="External" /><Relationship Type="http://schemas.openxmlformats.org/officeDocument/2006/relationships/hyperlink" Id="rId23" Target="https://github.com/kstawiski/notatnik-adk-slice-public" TargetMode="External" /><Relationship Type="http://schemas.openxmlformats.org/officeDocument/2006/relationships/hyperlink" Id="rId14" Target="https://link.konsta.com.pl/scholar" TargetMode="External" /><Relationship Type="http://schemas.openxmlformats.org/officeDocument/2006/relationships/hyperlink" Id="rId13" Target="https://openalex.org/A5015231262" TargetMode="External" /><Relationship Type="http://schemas.openxmlformats.org/officeDocument/2006/relationships/hyperlink" Id="rId11" Target="https://orcid.org/0000-0002-6550-3384" TargetMode="External" /><Relationship Type="http://schemas.openxmlformats.org/officeDocument/2006/relationships/hyperlink" Id="rId12" Target="https://pubmed.ncbi.nlm.nih.gov/?term=Stawiski+K%5BAuthor%5D" TargetMode="External" /><Relationship Type="http://schemas.openxmlformats.org/officeDocument/2006/relationships/hyperlink" Id="rId9" Target="mailto:konrad@konsta.com.p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cv-full-en.docx" TargetMode="External" /><Relationship Type="http://schemas.openxmlformats.org/officeDocument/2006/relationships/hyperlink" Id="rId26" Target="cv-full-en.pdf" TargetMode="External" /><Relationship Type="http://schemas.openxmlformats.org/officeDocument/2006/relationships/hyperlink" Id="rId29" Target="cv-full-pl.docx" TargetMode="External" /><Relationship Type="http://schemas.openxmlformats.org/officeDocument/2006/relationships/hyperlink" Id="rId28" Target="cv-full-pl.pdf" TargetMode="External" /><Relationship Type="http://schemas.openxmlformats.org/officeDocument/2006/relationships/hyperlink" Id="rId10" Target="https://connects.catalyst.harvard.edu/Profiles/profile/332013997" TargetMode="External" /><Relationship Type="http://schemas.openxmlformats.org/officeDocument/2006/relationships/hyperlink" Id="rId18" Target="https://doi.org/10.1002/1878-0261.70276" TargetMode="External" /><Relationship Type="http://schemas.openxmlformats.org/officeDocument/2006/relationships/hyperlink" Id="rId20" Target="https://doi.org/10.1101/2022.06.01.494299" TargetMode="External" /><Relationship Type="http://schemas.openxmlformats.org/officeDocument/2006/relationships/hyperlink" Id="rId19" Target="https://doi.org/10.1126/sciadv.adg2263" TargetMode="External" /><Relationship Type="http://schemas.openxmlformats.org/officeDocument/2006/relationships/hyperlink" Id="rId15" Target="https://github.com/kstawiski" TargetMode="External" /><Relationship Type="http://schemas.openxmlformats.org/officeDocument/2006/relationships/hyperlink" Id="rId23" Target="https://github.com/kstawiski/notatnik-adk-slice-public" TargetMode="External" /><Relationship Type="http://schemas.openxmlformats.org/officeDocument/2006/relationships/hyperlink" Id="rId14" Target="https://link.konsta.com.pl/scholar" TargetMode="External" /><Relationship Type="http://schemas.openxmlformats.org/officeDocument/2006/relationships/hyperlink" Id="rId13" Target="https://openalex.org/A5015231262" TargetMode="External" /><Relationship Type="http://schemas.openxmlformats.org/officeDocument/2006/relationships/hyperlink" Id="rId11" Target="https://orcid.org/0000-0002-6550-3384" TargetMode="External" /><Relationship Type="http://schemas.openxmlformats.org/officeDocument/2006/relationships/hyperlink" Id="rId12" Target="https://pubmed.ncbi.nlm.nih.gov/?term=Stawiski+K%5BAuthor%5D" TargetMode="External" /><Relationship Type="http://schemas.openxmlformats.org/officeDocument/2006/relationships/hyperlink" Id="rId9" Target="mailto:konrad@konsta.com.p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Konrad Stawiski</dc:title>
  <dc:creator/>
  <dc:language>en-US</dc:language>
  <cp:keywords/>
  <dcterms:created xsi:type="dcterms:W3CDTF">2026-07-08T22:07:45Z</dcterms:created>
  <dcterms:modified xsi:type="dcterms:W3CDTF">2026-07-08T22:07:45Z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ways_allow_html">
    <vt:lpwstr>False</vt:lpwstr>
  </property>
  <property fmtid="{D5CDD505-2E9C-101B-9397-08002B2CF9AE}" pid="3" name="mainfont">
    <vt:lpwstr>Open Sans</vt:lpwstr>
  </property>
  <property fmtid="{D5CDD505-2E9C-101B-9397-08002B2CF9AE}" pid="4" name="monofont">
    <vt:lpwstr>Latin Modern Mono</vt:lpwstr>
  </property>
  <property fmtid="{D5CDD505-2E9C-101B-9397-08002B2CF9AE}" pid="5" name="output">
    <vt:lpwstr/>
  </property>
  <property fmtid="{D5CDD505-2E9C-101B-9397-08002B2CF9AE}" pid="6" name="sansfont">
    <vt:lpwstr>Open Sans</vt:lpwstr>
  </property>
  <property fmtid="{D5CDD505-2E9C-101B-9397-08002B2CF9AE}" pid="7" name="subtitle">
    <vt:lpwstr>Radiation oncologist and clinical-translational researcher</vt:lpwstr>
  </property>
</Properties>
</file>